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ind w:left="720" w:hanging="360"/>
      </w:pPr>
      <w:r w:rsidDel="00000000" w:rsidR="00000000" w:rsidRPr="00000000">
        <w:rPr>
          <w:rtl w:val="0"/>
        </w:rPr>
        <w:t xml:space="preserve">Name of the strategy: Hamburger </w:t>
      </w:r>
    </w:p>
    <w:p w:rsidR="00000000" w:rsidDel="00000000" w:rsidP="00000000" w:rsidRDefault="00000000" w:rsidRPr="00000000" w14:paraId="00000002">
      <w:pPr>
        <w:numPr>
          <w:ilvl w:val="0"/>
          <w:numId w:val="1"/>
        </w:numPr>
        <w:ind w:left="720" w:hanging="360"/>
      </w:pPr>
      <w:r w:rsidDel="00000000" w:rsidR="00000000" w:rsidRPr="00000000">
        <w:rPr>
          <w:rtl w:val="0"/>
        </w:rPr>
        <w:t xml:space="preserve">Type of writing it supports (e.g., persuasive, narrative, informational): All</w:t>
      </w:r>
    </w:p>
    <w:p w:rsidR="00000000" w:rsidDel="00000000" w:rsidP="00000000" w:rsidRDefault="00000000" w:rsidRPr="00000000" w14:paraId="00000003">
      <w:pPr>
        <w:numPr>
          <w:ilvl w:val="0"/>
          <w:numId w:val="1"/>
        </w:numPr>
        <w:ind w:left="720" w:hanging="360"/>
      </w:pPr>
      <w:r w:rsidDel="00000000" w:rsidR="00000000" w:rsidRPr="00000000">
        <w:rPr>
          <w:rtl w:val="0"/>
        </w:rPr>
        <w:t xml:space="preserve">Grade level: Grades 2-6</w:t>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Stage of writing it supports: planning, drafting</w:t>
      </w:r>
    </w:p>
    <w:p w:rsidR="00000000" w:rsidDel="00000000" w:rsidP="00000000" w:rsidRDefault="00000000" w:rsidRPr="00000000" w14:paraId="00000005">
      <w:pPr>
        <w:spacing w:line="240" w:lineRule="auto"/>
        <w:rPr>
          <w:b w:val="1"/>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b w:val="1"/>
          <w:rtl w:val="0"/>
        </w:rPr>
        <w:t xml:space="preserve">Overview</w:t>
      </w:r>
      <w:r w:rsidDel="00000000" w:rsidR="00000000" w:rsidRPr="00000000">
        <w:rPr>
          <w:rtl w:val="0"/>
        </w:rPr>
        <w:t xml:space="preserve">:</w:t>
      </w:r>
    </w:p>
    <w:p w:rsidR="00000000" w:rsidDel="00000000" w:rsidP="00000000" w:rsidRDefault="00000000" w:rsidRPr="00000000" w14:paraId="00000007">
      <w:pPr>
        <w:spacing w:line="240" w:lineRule="auto"/>
        <w:rPr/>
      </w:pPr>
      <w:r w:rsidDel="00000000" w:rsidR="00000000" w:rsidRPr="00000000">
        <w:rPr>
          <w:rtl w:val="0"/>
        </w:rPr>
        <w:t xml:space="preserve">The hamburger paragraph strategy offers a concrete, visual way for students to plan and evaluate their writing. By mapping each part of a paragraph onto the layers of a hamburger—top bun for the topic sentence, fillings for supporting details, and bottom bun for the conclusion—students can better understand structure, flow, and content depth. This approach helps them determine whether their topic is too broad or too narrow, identify underdeveloped ideas, and see how well their points connect. It also encourages reflection on the quality of their content by asking whether their paragraph has enough “juicy” details to be satisfying. Because the metaphor is familiar and easy to visualize, it supports memory and independence, especially for students who benefit from clear, consistent scaffolds. The strategy simplifies paragraph writing into manageable parts, making it easier for students to organize their thoughts and strengthen their ideas.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line="240" w:lineRule="auto"/>
        <w:rPr>
          <w:b w:val="1"/>
        </w:rPr>
      </w:pPr>
      <w:r w:rsidDel="00000000" w:rsidR="00000000" w:rsidRPr="00000000">
        <w:rPr>
          <w:b w:val="1"/>
          <w:rtl w:val="0"/>
        </w:rPr>
        <w:t xml:space="preserve">Implementation Suggestions:</w:t>
      </w:r>
    </w:p>
    <w:p w:rsidR="00000000" w:rsidDel="00000000" w:rsidP="00000000" w:rsidRDefault="00000000" w:rsidRPr="00000000" w14:paraId="0000000A">
      <w:pPr>
        <w:spacing w:line="240" w:lineRule="auto"/>
        <w:rPr>
          <w:i w:val="1"/>
        </w:rPr>
      </w:pPr>
      <w:r w:rsidDel="00000000" w:rsidR="00000000" w:rsidRPr="00000000">
        <w:rPr>
          <w:i w:val="1"/>
          <w:rtl w:val="0"/>
        </w:rPr>
        <w:t xml:space="preserve">Tips to Implement:</w:t>
      </w:r>
    </w:p>
    <w:p w:rsidR="00000000" w:rsidDel="00000000" w:rsidP="00000000" w:rsidRDefault="00000000" w:rsidRPr="00000000" w14:paraId="0000000B">
      <w:pPr>
        <w:spacing w:after="240" w:before="240" w:line="240" w:lineRule="auto"/>
        <w:rPr/>
      </w:pPr>
      <w:r w:rsidDel="00000000" w:rsidR="00000000" w:rsidRPr="00000000">
        <w:rPr>
          <w:rtl w:val="0"/>
        </w:rPr>
        <w:t xml:space="preserve">To introduce the hamburger paragraph strategy effectively, use a concrete and visually engaging analogy that breaks down each part of a paragraph into burger layers: the topic sentence as the top bun, supporting details as the fillings, and the concluding sentence as the bottom bun. Reinforce this structure with a shared anchor chart and color-coded visuals that stay visible throughout instruction. Scaffold learning with sentence starters, graphic organizers, and tactile activities like cut-and-paste burger pieces. Support diverse learners with word banks, transition menus, and chunked organizers to help them build strong, flavorful paragraphs step by step.</w:t>
      </w:r>
    </w:p>
    <w:p w:rsidR="00000000" w:rsidDel="00000000" w:rsidP="00000000" w:rsidRDefault="00000000" w:rsidRPr="00000000" w14:paraId="0000000C">
      <w:pPr>
        <w:spacing w:line="240" w:lineRule="auto"/>
        <w:rPr>
          <w:b w:val="1"/>
        </w:rPr>
      </w:pPr>
      <w:r w:rsidDel="00000000" w:rsidR="00000000" w:rsidRPr="00000000">
        <w:rPr>
          <w:i w:val="1"/>
          <w:rtl w:val="0"/>
        </w:rPr>
        <w:t xml:space="preserve">Dos and Don'ts:</w:t>
      </w:r>
      <w:r w:rsidDel="00000000" w:rsidR="00000000" w:rsidRPr="00000000">
        <w:rPr>
          <w:rtl w:val="0"/>
        </w:rPr>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Do:</w:t>
      </w:r>
    </w:p>
    <w:p w:rsidR="00000000" w:rsidDel="00000000" w:rsidP="00000000" w:rsidRDefault="00000000" w:rsidRPr="00000000" w14:paraId="0000000E">
      <w:pPr>
        <w:numPr>
          <w:ilvl w:val="1"/>
          <w:numId w:val="2"/>
        </w:numPr>
        <w:ind w:left="1440" w:hanging="360"/>
      </w:pPr>
      <w:r w:rsidDel="00000000" w:rsidR="00000000" w:rsidRPr="00000000">
        <w:rPr>
          <w:rtl w:val="0"/>
        </w:rPr>
        <w:t xml:space="preserve">Encourage creativity in supporting details - Ask students to brainstorm facts, personal experiences, and observations before they even start writing. Also, you can use sentence stems to help students start brainstorming (ex. One surprising fact is…)</w:t>
      </w:r>
    </w:p>
    <w:p w:rsidR="00000000" w:rsidDel="00000000" w:rsidP="00000000" w:rsidRDefault="00000000" w:rsidRPr="00000000" w14:paraId="0000000F">
      <w:pPr>
        <w:numPr>
          <w:ilvl w:val="1"/>
          <w:numId w:val="2"/>
        </w:numPr>
        <w:ind w:left="1440" w:hanging="360"/>
      </w:pPr>
      <w:r w:rsidDel="00000000" w:rsidR="00000000" w:rsidRPr="00000000">
        <w:rPr>
          <w:rtl w:val="0"/>
        </w:rPr>
        <w:t xml:space="preserve">Model each part of the paragraph explicitly - Don’t just describe the burger parts; actually write the paragraph live with your students! Model your thinking aloud as you walk through each step: “I’m writing the top bun. This is my topic sentence, so I need to tell the reader what I’ll be talking about.”</w:t>
      </w:r>
    </w:p>
    <w:p w:rsidR="00000000" w:rsidDel="00000000" w:rsidP="00000000" w:rsidRDefault="00000000" w:rsidRPr="00000000" w14:paraId="00000010">
      <w:pPr>
        <w:numPr>
          <w:ilvl w:val="1"/>
          <w:numId w:val="2"/>
        </w:numPr>
        <w:ind w:left="1440" w:hanging="360"/>
      </w:pPr>
      <w:r w:rsidDel="00000000" w:rsidR="00000000" w:rsidRPr="00000000">
        <w:rPr>
          <w:rtl w:val="0"/>
        </w:rPr>
        <w:t xml:space="preserve">Reinforce the metaphor of the hamburger regularly - Make the hamburger metaphor a part of the writing conversation. Ask questions like “Did you build the full burger?” or provide constructive feedback by saying “That detail needs a little extra seasoning!”</w:t>
      </w:r>
    </w:p>
    <w:p w:rsidR="00000000" w:rsidDel="00000000" w:rsidP="00000000" w:rsidRDefault="00000000" w:rsidRPr="00000000" w14:paraId="00000011">
      <w:pPr>
        <w:numPr>
          <w:ilvl w:val="1"/>
          <w:numId w:val="2"/>
        </w:numPr>
        <w:ind w:left="1440" w:hanging="360"/>
      </w:pPr>
      <w:r w:rsidDel="00000000" w:rsidR="00000000" w:rsidRPr="00000000">
        <w:rPr>
          <w:rtl w:val="0"/>
        </w:rPr>
        <w:t xml:space="preserve">Write the paragraph in order (top bun, juicy details, bottom bun)  - This ensures students have a strong claim before they brainstorm details. </w:t>
      </w:r>
    </w:p>
    <w:p w:rsidR="00000000" w:rsidDel="00000000" w:rsidP="00000000" w:rsidRDefault="00000000" w:rsidRPr="00000000" w14:paraId="00000012">
      <w:pPr>
        <w:numPr>
          <w:ilvl w:val="0"/>
          <w:numId w:val="2"/>
        </w:numPr>
        <w:ind w:left="720" w:hanging="360"/>
      </w:pPr>
      <w:r w:rsidDel="00000000" w:rsidR="00000000" w:rsidRPr="00000000">
        <w:rPr>
          <w:rtl w:val="0"/>
        </w:rPr>
        <w:t xml:space="preserve">Don’t:</w:t>
      </w:r>
    </w:p>
    <w:p w:rsidR="00000000" w:rsidDel="00000000" w:rsidP="00000000" w:rsidRDefault="00000000" w:rsidRPr="00000000" w14:paraId="00000013">
      <w:pPr>
        <w:numPr>
          <w:ilvl w:val="1"/>
          <w:numId w:val="2"/>
        </w:numPr>
        <w:ind w:left="1440" w:hanging="360"/>
      </w:pPr>
      <w:r w:rsidDel="00000000" w:rsidR="00000000" w:rsidRPr="00000000">
        <w:rPr>
          <w:rtl w:val="0"/>
        </w:rPr>
        <w:t xml:space="preserve">Assume all students understand the metaphor without visual support - Some students may not immediately draw the connection between a hamburger and writing. Continue to use the visual and model to build the connection between the top bun being the topic sentence, the fillings serving as the details, and the bottom bun being the concluding sentence.</w:t>
      </w:r>
    </w:p>
    <w:p w:rsidR="00000000" w:rsidDel="00000000" w:rsidP="00000000" w:rsidRDefault="00000000" w:rsidRPr="00000000" w14:paraId="00000014">
      <w:pPr>
        <w:numPr>
          <w:ilvl w:val="1"/>
          <w:numId w:val="2"/>
        </w:numPr>
        <w:ind w:left="1440" w:hanging="360"/>
      </w:pPr>
      <w:r w:rsidDel="00000000" w:rsidR="00000000" w:rsidRPr="00000000">
        <w:rPr>
          <w:rtl w:val="0"/>
        </w:rPr>
        <w:t xml:space="preserve">Overcomplicate the fillings (details) - Keep it simple at first. Start with modeling facts, personal examples, or descriptions. As students start to become more proficient, set expectations about adding in adjectives and transitions.</w:t>
      </w: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spacing w:line="240" w:lineRule="auto"/>
        <w:rPr>
          <w:b w:val="1"/>
        </w:rPr>
      </w:pPr>
      <w:r w:rsidDel="00000000" w:rsidR="00000000" w:rsidRPr="00000000">
        <w:rPr>
          <w:b w:val="1"/>
          <w:rtl w:val="0"/>
        </w:rPr>
        <w:t xml:space="preserve">Steps to Implement:</w:t>
      </w:r>
    </w:p>
    <w:p w:rsidR="00000000" w:rsidDel="00000000" w:rsidP="00000000" w:rsidRDefault="00000000" w:rsidRPr="00000000" w14:paraId="00000017">
      <w:pPr>
        <w:spacing w:after="240" w:before="240" w:lineRule="auto"/>
        <w:rPr/>
      </w:pPr>
      <w:r w:rsidDel="00000000" w:rsidR="00000000" w:rsidRPr="00000000">
        <w:rPr>
          <w:rtl w:val="0"/>
        </w:rPr>
        <w:t xml:space="preserve">Begin by modeling the strategy with a hamburger image and a clear breakdown of each paragraph part. Create a classroom anchor chart and introduce sentence starters for each layer. Use group activities like paragraph assembly lines, sentence sorting games, and whole-class builds to reinforce understanding. Transition to independent practice with graphic organizers, visual checklists, and writing stations that focus on each burger layer. These steps help students internalize the structure and apply it confidently across writing tasks.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